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5058A" w14:textId="77777777" w:rsidR="006D7060" w:rsidRPr="006D7060" w:rsidRDefault="000E16B3" w:rsidP="006D7060">
      <w:pPr>
        <w:autoSpaceDE w:val="0"/>
        <w:autoSpaceDN w:val="0"/>
        <w:adjustRightInd w:val="0"/>
        <w:spacing w:after="0" w:line="240" w:lineRule="auto"/>
        <w:jc w:val="both"/>
        <w:rPr>
          <w:rFonts w:ascii="Cambria" w:hAnsi="Cambria" w:cstheme="minorHAnsi"/>
          <w:b/>
          <w:sz w:val="40"/>
          <w:szCs w:val="40"/>
          <w:lang w:val="de-CH"/>
        </w:rPr>
      </w:pPr>
      <w:r w:rsidRPr="006D7060">
        <w:rPr>
          <w:rFonts w:ascii="Cambria" w:hAnsi="Cambria" w:cstheme="minorHAnsi"/>
          <w:b/>
          <w:sz w:val="40"/>
          <w:szCs w:val="40"/>
          <w:lang w:val="de-CH"/>
        </w:rPr>
        <w:t xml:space="preserve">Offenlegung </w:t>
      </w:r>
    </w:p>
    <w:p w14:paraId="7A5FE5BF" w14:textId="187A6F9A" w:rsidR="00C715D5" w:rsidRDefault="000E16B3" w:rsidP="006D7060">
      <w:pPr>
        <w:autoSpaceDE w:val="0"/>
        <w:autoSpaceDN w:val="0"/>
        <w:adjustRightInd w:val="0"/>
        <w:spacing w:after="0" w:line="240" w:lineRule="auto"/>
        <w:jc w:val="both"/>
        <w:rPr>
          <w:rFonts w:ascii="Cambria" w:hAnsi="Cambria" w:cstheme="minorHAnsi"/>
          <w:b/>
          <w:lang w:val="de-CH"/>
        </w:rPr>
      </w:pPr>
      <w:r w:rsidRPr="006D7060">
        <w:rPr>
          <w:rFonts w:ascii="Cambria" w:hAnsi="Cambria" w:cstheme="minorHAnsi"/>
          <w:b/>
          <w:lang w:val="de-CH"/>
        </w:rPr>
        <w:t xml:space="preserve">gemäss Verordnung (EU) 2019/2088 über nachhaltigkeitsbezogene Offenlegungspflichten im Finanzdienstleistungssektor </w:t>
      </w:r>
      <w:r w:rsidR="00022159" w:rsidRPr="006D7060">
        <w:rPr>
          <w:rFonts w:ascii="Cambria" w:hAnsi="Cambria" w:cstheme="minorHAnsi"/>
          <w:b/>
          <w:lang w:val="de-CH"/>
        </w:rPr>
        <w:t>(</w:t>
      </w:r>
      <w:r w:rsidR="002C0DEE" w:rsidRPr="006D7060">
        <w:rPr>
          <w:rFonts w:ascii="Cambria" w:hAnsi="Cambria" w:cstheme="minorHAnsi"/>
          <w:b/>
          <w:lang w:val="de-CH"/>
        </w:rPr>
        <w:t xml:space="preserve">Offenlegungsverordnung, </w:t>
      </w:r>
      <w:r w:rsidR="00022159" w:rsidRPr="006D7060">
        <w:rPr>
          <w:rFonts w:ascii="Cambria" w:hAnsi="Cambria" w:cstheme="minorHAnsi"/>
          <w:b/>
          <w:lang w:val="de-CH"/>
        </w:rPr>
        <w:t>SFDR)</w:t>
      </w:r>
    </w:p>
    <w:p w14:paraId="2C18298F" w14:textId="35FF18C9" w:rsidR="006D7060" w:rsidRDefault="006D7060" w:rsidP="006D7060">
      <w:pPr>
        <w:autoSpaceDE w:val="0"/>
        <w:autoSpaceDN w:val="0"/>
        <w:adjustRightInd w:val="0"/>
        <w:spacing w:after="0" w:line="240" w:lineRule="auto"/>
        <w:jc w:val="both"/>
        <w:rPr>
          <w:rFonts w:ascii="Cambria" w:hAnsi="Cambria" w:cstheme="minorHAnsi"/>
          <w:b/>
          <w:lang w:val="de-CH"/>
        </w:rPr>
      </w:pPr>
    </w:p>
    <w:p w14:paraId="16669596" w14:textId="77777777" w:rsidR="006D7060" w:rsidRPr="006D7060" w:rsidRDefault="006D7060" w:rsidP="006D7060">
      <w:pPr>
        <w:autoSpaceDE w:val="0"/>
        <w:autoSpaceDN w:val="0"/>
        <w:adjustRightInd w:val="0"/>
        <w:spacing w:after="0" w:line="240" w:lineRule="auto"/>
        <w:jc w:val="both"/>
        <w:rPr>
          <w:rFonts w:ascii="Cambria" w:hAnsi="Cambria" w:cstheme="minorHAnsi"/>
          <w:b/>
          <w:lang w:val="de-CH"/>
        </w:rPr>
      </w:pPr>
    </w:p>
    <w:p w14:paraId="40D4A355" w14:textId="5BD5641B" w:rsidR="00022159" w:rsidRDefault="00022159" w:rsidP="00022159">
      <w:r>
        <w:t>Aufgrund der angebotenen Dienstleistungen (Portfoliomanagement, Anlageberatung) fungiert die Kaiser Partner Privatbank (</w:t>
      </w:r>
      <w:r w:rsidR="00E05DFE">
        <w:t>Kaiser Partner</w:t>
      </w:r>
      <w:r>
        <w:t xml:space="preserve">) sowohl als Finanzmarktteilnehmer als auch als Finanzberater im Sinne der </w:t>
      </w:r>
      <w:r w:rsidR="00DD0015">
        <w:t>Offenlegungsverordnung</w:t>
      </w:r>
      <w:r>
        <w:t xml:space="preserve">, weshalb die entsprechenden Offenlegungspflichten zur Anwendung gelangen. </w:t>
      </w:r>
    </w:p>
    <w:p w14:paraId="2D9E2E49" w14:textId="2ED92C59" w:rsidR="004C2A19" w:rsidRDefault="00FA703F" w:rsidP="00FA703F">
      <w:r w:rsidRPr="00FA703F">
        <w:t>Seit 2009 gehört die Kaiser Partner</w:t>
      </w:r>
      <w:r w:rsidR="005244C0">
        <w:t xml:space="preserve"> Kaiser Partner</w:t>
      </w:r>
      <w:r w:rsidR="00B86C70">
        <w:t xml:space="preserve"> </w:t>
      </w:r>
      <w:r w:rsidRPr="00FA703F">
        <w:t xml:space="preserve">zu den Unterzeichnern der Prinzipien für verantwortungsvolles Investieren (PRI) und </w:t>
      </w:r>
      <w:r w:rsidR="008B5D89">
        <w:t>ist</w:t>
      </w:r>
      <w:r w:rsidR="008B5D89" w:rsidRPr="00FA703F">
        <w:t xml:space="preserve"> </w:t>
      </w:r>
      <w:r w:rsidRPr="00FA703F">
        <w:t>damit Vorreiter in Liechtenstein. Mi</w:t>
      </w:r>
      <w:r w:rsidR="003B26E0">
        <w:t>ttlerweile haben sich mehr als 5</w:t>
      </w:r>
      <w:r w:rsidRPr="00FA703F">
        <w:t xml:space="preserve">’000 Mitglieder aus über 50 Ländern </w:t>
      </w:r>
      <w:r w:rsidR="008B5D89">
        <w:t xml:space="preserve">den PRI </w:t>
      </w:r>
      <w:r w:rsidRPr="00FA703F">
        <w:t>angeschlossen, die zusammen ein Kapital von mehr als 100</w:t>
      </w:r>
      <w:r>
        <w:t xml:space="preserve"> Billionen US-Dollar verwalten. </w:t>
      </w:r>
      <w:r w:rsidRPr="00FA703F">
        <w:t xml:space="preserve">Die PRI-Initiative </w:t>
      </w:r>
      <w:r w:rsidR="008B5D89">
        <w:t>bezweckt</w:t>
      </w:r>
      <w:r w:rsidR="008B5D89" w:rsidRPr="00FA703F">
        <w:t xml:space="preserve"> </w:t>
      </w:r>
      <w:r w:rsidRPr="00FA703F">
        <w:t xml:space="preserve">mit ihren sechs Prinzipien für verantwortungsvolles Investieren </w:t>
      </w:r>
      <w:r w:rsidR="008B5D89">
        <w:t xml:space="preserve">die </w:t>
      </w:r>
      <w:r w:rsidRPr="00FA703F">
        <w:t>Umsetzung eines effizienten, nachhaltigen und globalen Finanzsystems – mit zukunftsweisendem Erfolg.</w:t>
      </w:r>
      <w:r>
        <w:t xml:space="preserve"> Zudem hat</w:t>
      </w:r>
      <w:r w:rsidR="00B86C70">
        <w:t xml:space="preserve"> </w:t>
      </w:r>
      <w:r w:rsidR="005244C0">
        <w:t>Kaiser Partner</w:t>
      </w:r>
      <w:r>
        <w:t xml:space="preserve"> als erste Bank Liechtensteins die Grundsätze für verantwortungsvolles Banking (PRB) unterzeichnet. </w:t>
      </w:r>
      <w:r w:rsidRPr="00FA703F">
        <w:t>Die</w:t>
      </w:r>
      <w:r w:rsidR="008B5D89">
        <w:t>se</w:t>
      </w:r>
      <w:r w:rsidRPr="00FA703F">
        <w:t xml:space="preserve"> Prinzipien</w:t>
      </w:r>
      <w:r w:rsidR="008B5D89">
        <w:t xml:space="preserve"> –</w:t>
      </w:r>
      <w:r w:rsidRPr="00FA703F">
        <w:t xml:space="preserve"> eine Initiative des UNEP FI</w:t>
      </w:r>
      <w:r w:rsidR="008B5D89">
        <w:t xml:space="preserve"> –</w:t>
      </w:r>
      <w:r w:rsidRPr="00FA703F">
        <w:t xml:space="preserve"> bilden den Rahmen für ein nachhaltiges Bankensystem</w:t>
      </w:r>
      <w:r w:rsidR="008B5D89">
        <w:t>.</w:t>
      </w:r>
    </w:p>
    <w:p w14:paraId="0E27D173" w14:textId="01BD712A" w:rsidR="00721456" w:rsidRDefault="00841827" w:rsidP="00FA703F">
      <w:r>
        <w:t xml:space="preserve">Bei </w:t>
      </w:r>
      <w:r w:rsidR="005244C0">
        <w:t>Kaiser Partner</w:t>
      </w:r>
      <w:r>
        <w:t xml:space="preserve"> ist nachhaltiges Investieren fester Bestandteil des Anlageprozesses.</w:t>
      </w:r>
      <w:r w:rsidR="00F27169">
        <w:t xml:space="preserve"> </w:t>
      </w:r>
      <w:r w:rsidR="005244C0">
        <w:t>Kaiser Partner</w:t>
      </w:r>
      <w:r w:rsidRPr="00841827">
        <w:t xml:space="preserve"> hat </w:t>
      </w:r>
      <w:r w:rsidR="008346C5">
        <w:t>mit der Unterz</w:t>
      </w:r>
      <w:r w:rsidR="00F539D9">
        <w:t>eichnung der PRI vor mehr als 15</w:t>
      </w:r>
      <w:r w:rsidR="008346C5">
        <w:t xml:space="preserve"> Jahren </w:t>
      </w:r>
      <w:r w:rsidRPr="00841827">
        <w:t xml:space="preserve">die strategische Entscheidung getroffen, im Rahmen </w:t>
      </w:r>
      <w:r w:rsidR="00FE176A">
        <w:t>der Anlagen (Vermögensverwaltung sowie Anlageberatung)</w:t>
      </w:r>
      <w:r w:rsidR="00AD7BB4">
        <w:t xml:space="preserve"> einen </w:t>
      </w:r>
      <w:r w:rsidRPr="00841827">
        <w:t xml:space="preserve">nachhaltigen Ansatz zu verfolgen und </w:t>
      </w:r>
      <w:r w:rsidR="00E604F3">
        <w:t>die Nachhaltigkeitsperspektive als integrativen Bestandteil des Investitions- und Selektionsprozesses einzubinden</w:t>
      </w:r>
      <w:r w:rsidRPr="00E604F3">
        <w:t>.</w:t>
      </w:r>
      <w:r w:rsidRPr="00841827">
        <w:t xml:space="preserve"> </w:t>
      </w:r>
      <w:r>
        <w:t xml:space="preserve">Ebenso kommen Anlagen zum Einsatz, welche nicht nur aus </w:t>
      </w:r>
      <w:r w:rsidR="00F539D9">
        <w:t>Nachhaltigkeits</w:t>
      </w:r>
      <w:r>
        <w:t>-Optik gut abschneiden, sondern auch einen</w:t>
      </w:r>
      <w:r w:rsidR="008B5D89">
        <w:t xml:space="preserve"> realen</w:t>
      </w:r>
      <w:r>
        <w:t xml:space="preserve"> Impact stiften</w:t>
      </w:r>
      <w:r w:rsidR="00721456">
        <w:t xml:space="preserve"> (Beispiel: Mikrofinanzanlagen)</w:t>
      </w:r>
      <w:r>
        <w:t xml:space="preserve">. </w:t>
      </w:r>
    </w:p>
    <w:p w14:paraId="41A78389" w14:textId="77777777" w:rsidR="00DD0015" w:rsidRDefault="00DD0015" w:rsidP="00FA703F"/>
    <w:p w14:paraId="32669D10" w14:textId="4A008EB9" w:rsidR="000E16B3" w:rsidRPr="002C59B9" w:rsidRDefault="002C0DEE" w:rsidP="00FA703F">
      <w:pPr>
        <w:rPr>
          <w:b/>
        </w:rPr>
      </w:pPr>
      <w:r>
        <w:rPr>
          <w:b/>
        </w:rPr>
        <w:t>Einbeziehung</w:t>
      </w:r>
      <w:r w:rsidR="000E16B3">
        <w:rPr>
          <w:b/>
        </w:rPr>
        <w:t xml:space="preserve"> von Nachhaltigkeitsrisiken (Art. 3</w:t>
      </w:r>
      <w:r w:rsidR="002C59B9">
        <w:rPr>
          <w:b/>
        </w:rPr>
        <w:t xml:space="preserve"> SFDR</w:t>
      </w:r>
      <w:r w:rsidR="000E16B3">
        <w:rPr>
          <w:b/>
        </w:rPr>
        <w:t>)</w:t>
      </w:r>
    </w:p>
    <w:p w14:paraId="73F0A7AE" w14:textId="46D39598" w:rsidR="009C6B85" w:rsidRDefault="009C6B85" w:rsidP="00FA703F">
      <w:r>
        <w:t xml:space="preserve">Als Nachhaltigkeitsrisiko wird ein Ereignis oder eine Bedingung im Bereich Umwelt, Soziales oder Unternehmensführung (Environmental, </w:t>
      </w:r>
      <w:proofErr w:type="spellStart"/>
      <w:r>
        <w:t>Social</w:t>
      </w:r>
      <w:proofErr w:type="spellEnd"/>
      <w:r>
        <w:t xml:space="preserve"> </w:t>
      </w:r>
      <w:proofErr w:type="spellStart"/>
      <w:r>
        <w:t>and</w:t>
      </w:r>
      <w:proofErr w:type="spellEnd"/>
      <w:r>
        <w:t xml:space="preserve"> </w:t>
      </w:r>
      <w:proofErr w:type="spellStart"/>
      <w:r>
        <w:t>Governance</w:t>
      </w:r>
      <w:proofErr w:type="spellEnd"/>
      <w:r>
        <w:t xml:space="preserve">; kurz ESG) bezeichnet, dessen Eintreten tatsächlich oder potenziell wesentliche negative Auswirkungen auf den Wert der Investitionen haben könnte. </w:t>
      </w:r>
      <w:r w:rsidR="002C0DEE">
        <w:t xml:space="preserve">Nachhaltigkeitsrisiken können einzelne Unternehmen oder aber auch ganze Branchen oder Regionen betreffen und sehr unterschiedlich ausgeprägt sein. Sie können sowohl </w:t>
      </w:r>
      <w:r w:rsidR="002C59B9">
        <w:t>einzeln</w:t>
      </w:r>
      <w:r w:rsidR="002C0DEE">
        <w:t xml:space="preserve"> als auch kumulativ auftreten. </w:t>
      </w:r>
    </w:p>
    <w:p w14:paraId="6BB6C78F" w14:textId="3E1EB372" w:rsidR="00CA565A" w:rsidRDefault="009E259B" w:rsidP="000248B5">
      <w:pPr>
        <w:pStyle w:val="Listenabsatz"/>
        <w:numPr>
          <w:ilvl w:val="0"/>
          <w:numId w:val="2"/>
        </w:numPr>
        <w:rPr>
          <w:lang w:val="de-CH"/>
        </w:rPr>
      </w:pPr>
      <w:r w:rsidRPr="00CA565A">
        <w:rPr>
          <w:lang w:val="de-CH"/>
        </w:rPr>
        <w:t xml:space="preserve">Umweltrisiken sind als finanzielle Risiken definiert, die einerseits durch Umweltfaktoren und andererseits durch </w:t>
      </w:r>
      <w:r w:rsidR="008B5D89">
        <w:rPr>
          <w:lang w:val="de-CH"/>
        </w:rPr>
        <w:t xml:space="preserve">das </w:t>
      </w:r>
      <w:proofErr w:type="spellStart"/>
      <w:r w:rsidR="008B5D89">
        <w:rPr>
          <w:lang w:val="de-CH"/>
        </w:rPr>
        <w:t>Exposure</w:t>
      </w:r>
      <w:proofErr w:type="spellEnd"/>
      <w:r w:rsidRPr="00CA565A">
        <w:rPr>
          <w:lang w:val="de-CH"/>
        </w:rPr>
        <w:t xml:space="preserve"> von Instituten gegenüber Gegenparteien, welche potenziell durch Umweltfaktoren negativ beeinflusst sind, entstehen. Umweltfaktoren beinhalten Aspekte, die durch den Klimawandel und anderen Umwelts</w:t>
      </w:r>
      <w:r w:rsidR="00CA565A">
        <w:rPr>
          <w:lang w:val="de-CH"/>
        </w:rPr>
        <w:t>chädigungen verursacht werden. </w:t>
      </w:r>
    </w:p>
    <w:p w14:paraId="03DD14D4" w14:textId="77777777" w:rsidR="00DD0015" w:rsidRDefault="00DD0015" w:rsidP="004F5958">
      <w:pPr>
        <w:pStyle w:val="Listenabsatz"/>
        <w:rPr>
          <w:lang w:val="de-CH"/>
        </w:rPr>
      </w:pPr>
    </w:p>
    <w:p w14:paraId="67217DEF" w14:textId="65CE54F8" w:rsidR="00CA565A" w:rsidRDefault="009E259B" w:rsidP="000248B5">
      <w:pPr>
        <w:pStyle w:val="Listenabsatz"/>
        <w:numPr>
          <w:ilvl w:val="0"/>
          <w:numId w:val="2"/>
        </w:numPr>
        <w:rPr>
          <w:lang w:val="de-CH"/>
        </w:rPr>
      </w:pPr>
      <w:r w:rsidRPr="00CA565A">
        <w:rPr>
          <w:lang w:val="de-CH"/>
        </w:rPr>
        <w:t xml:space="preserve">Soziale Risiken sind durch </w:t>
      </w:r>
      <w:r w:rsidR="008B5D89">
        <w:rPr>
          <w:lang w:val="de-CH"/>
        </w:rPr>
        <w:t xml:space="preserve">das </w:t>
      </w:r>
      <w:proofErr w:type="spellStart"/>
      <w:r w:rsidR="008B5D89">
        <w:rPr>
          <w:lang w:val="de-CH"/>
        </w:rPr>
        <w:t>Exposure</w:t>
      </w:r>
      <w:proofErr w:type="spellEnd"/>
      <w:r w:rsidR="008B5D89" w:rsidRPr="00CA565A">
        <w:rPr>
          <w:lang w:val="de-CH"/>
        </w:rPr>
        <w:t xml:space="preserve"> </w:t>
      </w:r>
      <w:r w:rsidRPr="00CA565A">
        <w:rPr>
          <w:lang w:val="de-CH"/>
        </w:rPr>
        <w:t>von Instituten gegenüber Gegenparteien, die potenziell durch soziale Faktoren negativ beeinflusst sind, definiert. Soziale Faktoren beinhalten Aspekte, die mit den Rechten, dem Wohlergehen und den Interessen von Menschen und Gemeinschaften zusammenhängen.</w:t>
      </w:r>
    </w:p>
    <w:p w14:paraId="38C9AE44" w14:textId="77777777" w:rsidR="00DD0015" w:rsidRPr="00586768" w:rsidRDefault="00DD0015" w:rsidP="004F5958">
      <w:pPr>
        <w:pStyle w:val="Listenabsatz"/>
        <w:rPr>
          <w:lang w:val="de-CH"/>
        </w:rPr>
      </w:pPr>
    </w:p>
    <w:p w14:paraId="06352B7F" w14:textId="379EA65B" w:rsidR="009E259B" w:rsidRPr="00CA565A" w:rsidRDefault="009E259B" w:rsidP="000248B5">
      <w:pPr>
        <w:pStyle w:val="Listenabsatz"/>
        <w:numPr>
          <w:ilvl w:val="0"/>
          <w:numId w:val="2"/>
        </w:numPr>
        <w:rPr>
          <w:lang w:val="de-CH"/>
        </w:rPr>
      </w:pPr>
      <w:r w:rsidRPr="00CA565A">
        <w:rPr>
          <w:lang w:val="de-CH"/>
        </w:rPr>
        <w:lastRenderedPageBreak/>
        <w:t xml:space="preserve">Unternehmerische Risiken sind durch </w:t>
      </w:r>
      <w:r w:rsidR="008B5D89">
        <w:rPr>
          <w:lang w:val="de-CH"/>
        </w:rPr>
        <w:t xml:space="preserve">das </w:t>
      </w:r>
      <w:proofErr w:type="spellStart"/>
      <w:r w:rsidR="008B5D89">
        <w:rPr>
          <w:lang w:val="de-CH"/>
        </w:rPr>
        <w:t>Exposure</w:t>
      </w:r>
      <w:proofErr w:type="spellEnd"/>
      <w:r w:rsidRPr="00CA565A">
        <w:rPr>
          <w:lang w:val="de-CH"/>
        </w:rPr>
        <w:t xml:space="preserve"> von Instituten gegenüber Gegenparteien, die potenziell durch unternehmerische Faktoren negativ beeinflusst sind, definiert. Diese Faktoren beziehen sich auf Unternehmensführungspraktiken, einschliesslich ethischer Überlegungen, einer soliden Risikomanagementstruktur, der Organisation und Funktionsweise des Leitungsorgans und der Transparenz.</w:t>
      </w:r>
    </w:p>
    <w:p w14:paraId="04465D02" w14:textId="77777777" w:rsidR="009E259B" w:rsidRPr="000248B5" w:rsidRDefault="009E259B" w:rsidP="00FA703F">
      <w:pPr>
        <w:rPr>
          <w:lang w:val="de-CH"/>
        </w:rPr>
      </w:pPr>
    </w:p>
    <w:p w14:paraId="6274DF6E" w14:textId="01DB5BA8" w:rsidR="00DD0015" w:rsidRDefault="002C0DEE" w:rsidP="00FA703F">
      <w:r>
        <w:t xml:space="preserve">Bei </w:t>
      </w:r>
      <w:r w:rsidR="005244C0">
        <w:t>Kaiser Partner</w:t>
      </w:r>
      <w:r>
        <w:t xml:space="preserve"> wird die</w:t>
      </w:r>
      <w:r w:rsidRPr="00841827">
        <w:t xml:space="preserve"> </w:t>
      </w:r>
      <w:r w:rsidR="00841827" w:rsidRPr="00841827">
        <w:t xml:space="preserve">Beachtung von Nachhaltigkeitsrisiken </w:t>
      </w:r>
      <w:r w:rsidR="00060CD4">
        <w:t>im Rahmen</w:t>
      </w:r>
      <w:r w:rsidR="00841827" w:rsidRPr="00841827">
        <w:t xml:space="preserve"> der Auswahl der möglichen Finanzinstrumente und Finanzprodukte </w:t>
      </w:r>
      <w:r w:rsidR="00DD0015">
        <w:t xml:space="preserve">sowohl bei der Anlageberatung als auch der Portfolioverwaltung </w:t>
      </w:r>
      <w:r w:rsidR="00841827" w:rsidRPr="00841827">
        <w:t>frühzeitig einbezogen. Grundsätzlich wird darauf geachtet, die</w:t>
      </w:r>
      <w:r w:rsidR="00DD0015">
        <w:t xml:space="preserve"> </w:t>
      </w:r>
      <w:r w:rsidR="005B06F0">
        <w:t>Nachhaltigkeitsr</w:t>
      </w:r>
      <w:r w:rsidR="00DD0015">
        <w:t>isiken</w:t>
      </w:r>
      <w:r w:rsidR="00841827" w:rsidRPr="00841827">
        <w:t xml:space="preserve"> möglichst gering zu halten. Bevor </w:t>
      </w:r>
      <w:r w:rsidR="005244C0">
        <w:t>Kaiser Partner</w:t>
      </w:r>
      <w:r w:rsidR="00AB674B">
        <w:t xml:space="preserve"> </w:t>
      </w:r>
      <w:r w:rsidR="00841827" w:rsidRPr="00841827">
        <w:t>Finanzinstrumente</w:t>
      </w:r>
      <w:r w:rsidR="00AB674B">
        <w:t xml:space="preserve"> respektive Finanzprodukte</w:t>
      </w:r>
      <w:r w:rsidR="00841827" w:rsidRPr="00841827">
        <w:t xml:space="preserve"> im Sinne der </w:t>
      </w:r>
      <w:r w:rsidR="00DD0015">
        <w:t>Offenlegungsverordnung</w:t>
      </w:r>
      <w:r w:rsidR="00DD0015" w:rsidRPr="00841827">
        <w:t xml:space="preserve"> </w:t>
      </w:r>
      <w:r w:rsidR="00841827" w:rsidRPr="00841827">
        <w:t xml:space="preserve">(beispielsweise Investmentfonds oder Alternative Investmentfonds) in das </w:t>
      </w:r>
      <w:r w:rsidR="00AB674B">
        <w:t>Kunden-</w:t>
      </w:r>
      <w:r w:rsidR="00841827" w:rsidRPr="00841827">
        <w:t xml:space="preserve">Portfolio </w:t>
      </w:r>
      <w:r w:rsidR="00F27169">
        <w:t>o</w:t>
      </w:r>
      <w:r w:rsidR="008346C5">
        <w:t>der auf die Produkte-Fokusliste</w:t>
      </w:r>
      <w:r w:rsidR="00F27169">
        <w:t xml:space="preserve"> </w:t>
      </w:r>
      <w:r w:rsidR="00841827" w:rsidRPr="00841827">
        <w:t>a</w:t>
      </w:r>
      <w:r w:rsidR="009539EB">
        <w:t>uf</w:t>
      </w:r>
      <w:r w:rsidR="00AB674B">
        <w:t>nimmt</w:t>
      </w:r>
      <w:r w:rsidR="009539EB">
        <w:t xml:space="preserve">, werden </w:t>
      </w:r>
      <w:r w:rsidR="00841827" w:rsidRPr="00841827">
        <w:t>system</w:t>
      </w:r>
      <w:r w:rsidR="008B5D89">
        <w:t>atisch</w:t>
      </w:r>
      <w:r w:rsidR="00841827" w:rsidRPr="00841827">
        <w:t xml:space="preserve"> Informationen zur Strategie bzw. zur Einbeziehung von Nachhaltigkeitsrisiken vom </w:t>
      </w:r>
      <w:r w:rsidR="00E06C14">
        <w:t>"</w:t>
      </w:r>
      <w:r w:rsidR="00841827" w:rsidRPr="00841827">
        <w:t>Produkthersteller</w:t>
      </w:r>
      <w:r w:rsidR="00E06C14">
        <w:t>"</w:t>
      </w:r>
      <w:r w:rsidR="00841827" w:rsidRPr="00841827">
        <w:t xml:space="preserve"> eingeholt.</w:t>
      </w:r>
      <w:r w:rsidR="00FE176A">
        <w:t xml:space="preserve"> </w:t>
      </w:r>
    </w:p>
    <w:p w14:paraId="0B795389" w14:textId="59BB2150" w:rsidR="00841827" w:rsidRDefault="00841827" w:rsidP="00FA703F">
      <w:r w:rsidRPr="00841827">
        <w:t xml:space="preserve">Im Auswahlprozess von Aktien und Anleihen </w:t>
      </w:r>
      <w:r>
        <w:t xml:space="preserve">(Einzeltitel) </w:t>
      </w:r>
      <w:r w:rsidRPr="00841827">
        <w:t>werde</w:t>
      </w:r>
      <w:r>
        <w:t xml:space="preserve">n durchgängig Mindestkriterien </w:t>
      </w:r>
      <w:r w:rsidRPr="00841827">
        <w:t xml:space="preserve">angewendet, um die Nachhaltigkeitsrisiken zu minimieren. </w:t>
      </w:r>
      <w:r w:rsidR="00EE6197">
        <w:t>Kaiser Partner</w:t>
      </w:r>
      <w:r>
        <w:t xml:space="preserve"> arbeite</w:t>
      </w:r>
      <w:r w:rsidR="00EE6197">
        <w:t>t</w:t>
      </w:r>
      <w:r>
        <w:t xml:space="preserve"> </w:t>
      </w:r>
      <w:r w:rsidR="00BD2AFC">
        <w:t>diesbezüglich mit dem</w:t>
      </w:r>
      <w:r w:rsidR="00F539D9">
        <w:t xml:space="preserve"> renommierten </w:t>
      </w:r>
      <w:r>
        <w:t xml:space="preserve">Anbieter MSCI ESG Manager zusammen, auf deren Ratings und </w:t>
      </w:r>
      <w:r w:rsidR="00721456">
        <w:t xml:space="preserve">qualitativ hochstehenden </w:t>
      </w:r>
      <w:r>
        <w:t xml:space="preserve">Analysen wir uns stützen. </w:t>
      </w:r>
      <w:r w:rsidRPr="00841827">
        <w:t>Zudem werden diverse Nachhaltigkeitsdaten wie</w:t>
      </w:r>
      <w:r w:rsidR="005C1EF7">
        <w:t xml:space="preserve"> beispielsweise</w:t>
      </w:r>
      <w:r w:rsidRPr="00841827">
        <w:t xml:space="preserve"> die nichtfinanzielle Berichterstattung der Investitionsunternehmen herangezogen, um Einschätzungen zu den Nachhaltigkeitsrisiken zu erhalten. Auch auf den Wirtschaftssektor der Investitionsunternehmen (Emittenten) wird Bedacht genommen. Zur Beurteilung möglicher Reputationsrisiken im Zusammenhang mit Nachhaltigkeitsfaktoren der Investitionsunternehmen wird zusätzlich auch auf Medienberichte zurückgegriffen.</w:t>
      </w:r>
    </w:p>
    <w:p w14:paraId="70616FDE" w14:textId="77394E37" w:rsidR="00A656A8" w:rsidRDefault="005244C0" w:rsidP="00FA703F">
      <w:r>
        <w:t>Kaiser Partner</w:t>
      </w:r>
      <w:r w:rsidR="00DD0015">
        <w:t xml:space="preserve"> </w:t>
      </w:r>
      <w:r w:rsidR="00B850F7">
        <w:t>steh</w:t>
      </w:r>
      <w:r w:rsidR="00DD0015">
        <w:t>t</w:t>
      </w:r>
      <w:r w:rsidR="00B850F7">
        <w:t xml:space="preserve"> für Transparenz und </w:t>
      </w:r>
      <w:r w:rsidR="00DD0015">
        <w:t xml:space="preserve">kann ihre </w:t>
      </w:r>
      <w:r w:rsidR="00B850F7">
        <w:t xml:space="preserve">Kundenportfolios </w:t>
      </w:r>
      <w:r w:rsidR="00DD0015">
        <w:t xml:space="preserve">im Hinblick auf die Berücksichtigung von ESG-Kriterien </w:t>
      </w:r>
      <w:r w:rsidR="00B850F7">
        <w:t xml:space="preserve">genau </w:t>
      </w:r>
      <w:r w:rsidR="008C0AA5">
        <w:t>analysieren</w:t>
      </w:r>
      <w:r w:rsidR="00B850F7">
        <w:t xml:space="preserve">. </w:t>
      </w:r>
      <w:r w:rsidR="00DD0015">
        <w:t xml:space="preserve">Auf Wunsch wird den Kunden ein kostenloser </w:t>
      </w:r>
      <w:r w:rsidR="00B850F7">
        <w:t>Report auf Basis der MSCI ESG Daten</w:t>
      </w:r>
      <w:r w:rsidR="00DD0015">
        <w:t xml:space="preserve"> erstellt</w:t>
      </w:r>
      <w:r w:rsidR="00B850F7">
        <w:t xml:space="preserve">, welcher ESG-Ratings, Carbon </w:t>
      </w:r>
      <w:proofErr w:type="spellStart"/>
      <w:r w:rsidR="00B850F7">
        <w:t>F</w:t>
      </w:r>
      <w:r w:rsidR="00721456">
        <w:t>ootprints</w:t>
      </w:r>
      <w:proofErr w:type="spellEnd"/>
      <w:r w:rsidR="00721456">
        <w:t>, s</w:t>
      </w:r>
      <w:r w:rsidR="00B850F7">
        <w:t xml:space="preserve">oziale </w:t>
      </w:r>
      <w:r w:rsidR="00721456">
        <w:t xml:space="preserve">Themen sowie </w:t>
      </w:r>
      <w:r w:rsidR="00B850F7">
        <w:t xml:space="preserve">Umwelt-Themen etc. </w:t>
      </w:r>
      <w:r w:rsidR="00DD0015">
        <w:t xml:space="preserve">umfassend </w:t>
      </w:r>
      <w:r w:rsidR="00B850F7">
        <w:t xml:space="preserve">aufgreift und auswertet. </w:t>
      </w:r>
    </w:p>
    <w:p w14:paraId="6C7A9E39" w14:textId="77777777" w:rsidR="005F6BA0" w:rsidRDefault="005F6BA0" w:rsidP="00FA703F"/>
    <w:p w14:paraId="0DEDE243" w14:textId="67BBF0FF" w:rsidR="00A72775" w:rsidRDefault="00923248" w:rsidP="00FA703F">
      <w:pPr>
        <w:rPr>
          <w:b/>
        </w:rPr>
      </w:pPr>
      <w:r>
        <w:rPr>
          <w:b/>
        </w:rPr>
        <w:t>Finanzportfolioverwaltung unter Berücksichtigung von ökologischen und sozialen Merkmalen (Art. 10</w:t>
      </w:r>
      <w:r w:rsidR="00510B24">
        <w:rPr>
          <w:b/>
        </w:rPr>
        <w:t xml:space="preserve"> SFDR</w:t>
      </w:r>
      <w:r>
        <w:rPr>
          <w:b/>
        </w:rPr>
        <w:t>)</w:t>
      </w:r>
    </w:p>
    <w:p w14:paraId="32BA6834" w14:textId="1C8F3D4B" w:rsidR="00923248" w:rsidRPr="000248B5" w:rsidRDefault="0010086F" w:rsidP="00FA703F">
      <w:r w:rsidRPr="0010086F">
        <w:t>Mit dem Portfolioverwaltungsmandat "</w:t>
      </w:r>
      <w:proofErr w:type="spellStart"/>
      <w:r w:rsidRPr="0010086F">
        <w:t>OptiMINDex</w:t>
      </w:r>
      <w:proofErr w:type="spellEnd"/>
      <w:r w:rsidRPr="0010086F">
        <w:t xml:space="preserve">" berücksichtigt Kaiser Partner ökologische und soziale Merkmale bei der Auswahl der Anlagen. Die langfristige strategische Vermögensaufteilung der erweiterten Indexstrategien ist auf eine traditionelle Anlagestrategie abgestimmt. Dabei wird der </w:t>
      </w:r>
      <w:proofErr w:type="spellStart"/>
      <w:r w:rsidRPr="0010086F">
        <w:t>Grossteil</w:t>
      </w:r>
      <w:proofErr w:type="spellEnd"/>
      <w:r w:rsidRPr="0010086F">
        <w:t xml:space="preserve"> der Mittel zwischen Aktien und Anleihen aufgeteilt. Um von mittelfristigen Trends zu profitieren, kann der Anlageausschuss </w:t>
      </w:r>
      <w:proofErr w:type="spellStart"/>
      <w:r w:rsidRPr="0010086F">
        <w:t>beschliessen</w:t>
      </w:r>
      <w:proofErr w:type="spellEnd"/>
      <w:r w:rsidRPr="0010086F">
        <w:t xml:space="preserve">, eine Anlageklasse je nach der erwarteten Marktentwicklung um 5 oder 10 Prozentpunkte über- oder </w:t>
      </w:r>
      <w:proofErr w:type="spellStart"/>
      <w:r w:rsidRPr="0010086F">
        <w:t>unterzugewichten</w:t>
      </w:r>
      <w:proofErr w:type="spellEnd"/>
      <w:r w:rsidRPr="0010086F">
        <w:t xml:space="preserve">. Die gesamte Strategie wird mit passiven Best-in-Class-Instrumenten umgesetzt. Dies ermöglicht eine kosteneffiziente und transparente Umsetzung mit hoher Liquidität. Darüber hinaus fördert die Strategie ein breites Spektrum an ökologischen und sozialen Merkmalen, indem mindestens 65% der Mittel in Produkte nach Artikel 8 und 9 der Offenlegungsverordnung investiert werden. Für die Beurteilung, ob ein potenzielles Finanzinstrument den verlangten Nachhaltigkeitskriterien entspricht, führen wir zusätzlich ein </w:t>
      </w:r>
      <w:proofErr w:type="spellStart"/>
      <w:r w:rsidRPr="0010086F">
        <w:t>Governance</w:t>
      </w:r>
      <w:proofErr w:type="spellEnd"/>
      <w:r w:rsidRPr="0010086F">
        <w:t xml:space="preserve">-Screening durch. Dabei orientiert sich Kaiser Partner Privatbank an den durch MSCI ESG Research erstellten </w:t>
      </w:r>
      <w:r>
        <w:t>Daten.</w:t>
      </w:r>
    </w:p>
    <w:p w14:paraId="434213F3" w14:textId="0BCC7AE7" w:rsidR="00A72775" w:rsidRDefault="008424AB" w:rsidP="00FA703F">
      <w:pPr>
        <w:rPr>
          <w:b/>
        </w:rPr>
      </w:pPr>
      <w:bookmarkStart w:id="0" w:name="_GoBack"/>
      <w:bookmarkEnd w:id="0"/>
      <w:r>
        <w:rPr>
          <w:b/>
        </w:rPr>
        <w:t>Erklärung zu n</w:t>
      </w:r>
      <w:r w:rsidR="00A72775">
        <w:rPr>
          <w:b/>
        </w:rPr>
        <w:t>achteilige</w:t>
      </w:r>
      <w:r>
        <w:rPr>
          <w:b/>
        </w:rPr>
        <w:t>n</w:t>
      </w:r>
      <w:r w:rsidR="00A72775">
        <w:rPr>
          <w:b/>
        </w:rPr>
        <w:t xml:space="preserve"> Nachhaltigkeitsauswirkungen (</w:t>
      </w:r>
      <w:proofErr w:type="spellStart"/>
      <w:r w:rsidR="00972C99">
        <w:rPr>
          <w:b/>
        </w:rPr>
        <w:t>Principal</w:t>
      </w:r>
      <w:proofErr w:type="spellEnd"/>
      <w:r w:rsidR="00972C99">
        <w:rPr>
          <w:b/>
        </w:rPr>
        <w:t xml:space="preserve"> </w:t>
      </w:r>
      <w:proofErr w:type="spellStart"/>
      <w:r w:rsidR="00972C99">
        <w:rPr>
          <w:b/>
        </w:rPr>
        <w:t>Adverse</w:t>
      </w:r>
      <w:proofErr w:type="spellEnd"/>
      <w:r w:rsidR="00972C99">
        <w:rPr>
          <w:b/>
        </w:rPr>
        <w:t xml:space="preserve"> Impacts; PAI; </w:t>
      </w:r>
      <w:r w:rsidR="00A72775">
        <w:rPr>
          <w:b/>
        </w:rPr>
        <w:t>Art. 4 SFDR)</w:t>
      </w:r>
      <w:r>
        <w:rPr>
          <w:b/>
        </w:rPr>
        <w:t xml:space="preserve"> als Finanzmarktteilnehmer und Finanzberater</w:t>
      </w:r>
    </w:p>
    <w:p w14:paraId="05BCC0AD" w14:textId="0A1F3B0F" w:rsidR="00503A15" w:rsidRDefault="003B52B9" w:rsidP="0010086F">
      <w:r>
        <w:t xml:space="preserve">Art. 4 SFDR enthält Ausführungen zu den wichtigsten nachteiligen Auswirkungen auf Nachhaltigkeitsfaktoren. </w:t>
      </w:r>
      <w:r w:rsidR="0010086F" w:rsidRPr="0010086F">
        <w:t xml:space="preserve">Finanzmarktteilnehmer mit weniger als 500 Mitarbeitenden können von der Pflicht zur Erklärung der wichtigsten nachteiligen Auswirkungen von Investitionsentscheidungen auf Nachhaltigkeitsfaktoren absehen. Als kleine Privatbank haben wir uns entschieden, von dieser Ausnahme Gebrauch zu machen. Der Hauptgrund für diese Entscheidung liegt im erheblichen Aufwand, den eine detaillierte Analyse der nachteiligen Auswirkungen auf Nachhaltigkeitsfaktoren für unser Unternehmen mit sich bringen würde. Als kleiner Finanzmarktteilnehmer sind die erforderlichen Ressourcen und die Skalierbarkeit eines solchen Prozesses für uns nur schwer realisierbar. Des Weiteren basieren unsere Portfolioverwaltungsmandate </w:t>
      </w:r>
      <w:proofErr w:type="spellStart"/>
      <w:r w:rsidR="0010086F" w:rsidRPr="0010086F">
        <w:t>grösstenteils</w:t>
      </w:r>
      <w:proofErr w:type="spellEnd"/>
      <w:r w:rsidR="0010086F" w:rsidRPr="0010086F">
        <w:t xml:space="preserve"> auf einer Fondslösung, weshalb wir nur begrenzt Einfluss auf die Zusammensetzung der </w:t>
      </w:r>
      <w:r w:rsidR="00C302BC" w:rsidRPr="0010086F">
        <w:t>zugrundeliegenden</w:t>
      </w:r>
      <w:r w:rsidR="0010086F" w:rsidRPr="0010086F">
        <w:t xml:space="preserve"> Fonds haben. In diesem Zusammenhang verlassen wir uns auf die Fondsanbieter, die in der Lage sind, nachteilige Nachhaltigkeitsauswirkungen zu berücksichtigen. Daher sehen </w:t>
      </w:r>
      <w:r w:rsidR="00C302BC">
        <w:t xml:space="preserve">wir </w:t>
      </w:r>
      <w:r w:rsidR="0010086F" w:rsidRPr="0010086F">
        <w:t>momentan keine Möglichkeit, eine vollständige Erklärung zu den nachteiligen Nachhaltigkeitsauswirkungen bereitzustellen. Wir sind jedoch bestrebt, unsere Geschäftspraktiken kontinuierlich zu überprüfen und anzupassen, um langfristig einen positiven Beitrag zur Nachhaltigkeit zu leisten</w:t>
      </w:r>
    </w:p>
    <w:p w14:paraId="35E017DF" w14:textId="77777777" w:rsidR="00503A15" w:rsidRPr="000248B5" w:rsidRDefault="00503A15" w:rsidP="00424DBD"/>
    <w:p w14:paraId="355974BE" w14:textId="5E4FA7AF" w:rsidR="00104A72" w:rsidRDefault="00104A72" w:rsidP="00FA703F">
      <w:pPr>
        <w:rPr>
          <w:b/>
        </w:rPr>
      </w:pPr>
      <w:r>
        <w:rPr>
          <w:b/>
        </w:rPr>
        <w:t>Vergütungspolitik und Nachhaltigkeitsrisiken (Art. 5 SFDR)</w:t>
      </w:r>
    </w:p>
    <w:p w14:paraId="30E0DA10" w14:textId="374F71C8" w:rsidR="00104A72" w:rsidRDefault="00104A72" w:rsidP="00FA703F">
      <w:r>
        <w:t xml:space="preserve">Im Rahmen der Vergütungspolitik werden Nachhaltigkeitsrisiken berücksichtigt. </w:t>
      </w:r>
      <w:r w:rsidR="007C5D42">
        <w:t xml:space="preserve">Insbesondere befolgt </w:t>
      </w:r>
      <w:r w:rsidR="005244C0">
        <w:t>Kaiser Partner</w:t>
      </w:r>
      <w:r w:rsidR="007C5D42">
        <w:t xml:space="preserve"> eine konsequente Fixlohnpolitik, bei welcher grundsätzlich keine variablen Lohnkomponenten gewährt werden. Dadurch wird verhindert, dass Fehlanreize </w:t>
      </w:r>
      <w:r w:rsidR="00013488">
        <w:t xml:space="preserve">zur Eingehung von </w:t>
      </w:r>
      <w:proofErr w:type="spellStart"/>
      <w:r w:rsidR="00013488">
        <w:t>übermässigen</w:t>
      </w:r>
      <w:proofErr w:type="spellEnd"/>
      <w:r w:rsidR="00013488">
        <w:t xml:space="preserve"> Nachhaltigkeitsrisiken </w:t>
      </w:r>
      <w:r w:rsidR="007C5D42">
        <w:t>gesetzt werden.</w:t>
      </w:r>
    </w:p>
    <w:p w14:paraId="640556AD" w14:textId="7DCCE8B5" w:rsidR="007C5D42" w:rsidRPr="00104A72" w:rsidRDefault="007C5D42" w:rsidP="00FA703F">
      <w:r>
        <w:t xml:space="preserve">Darüber </w:t>
      </w:r>
      <w:r w:rsidR="00A707D8">
        <w:t xml:space="preserve">verfügt </w:t>
      </w:r>
      <w:r w:rsidR="005244C0">
        <w:t>Kaiser Partner</w:t>
      </w:r>
      <w:r w:rsidR="00A707D8">
        <w:t xml:space="preserve"> über einen</w:t>
      </w:r>
      <w:r>
        <w:t xml:space="preserve"> Code </w:t>
      </w:r>
      <w:proofErr w:type="spellStart"/>
      <w:r>
        <w:t>of</w:t>
      </w:r>
      <w:proofErr w:type="spellEnd"/>
      <w:r>
        <w:t xml:space="preserve"> </w:t>
      </w:r>
      <w:proofErr w:type="spellStart"/>
      <w:r>
        <w:t>Conduct</w:t>
      </w:r>
      <w:proofErr w:type="spellEnd"/>
      <w:r w:rsidR="008864AE">
        <w:t>, welcher den</w:t>
      </w:r>
      <w:r w:rsidR="00A707D8">
        <w:t xml:space="preserve"> Mitarbeitenden als "Kompass" ihres Handelns dient</w:t>
      </w:r>
      <w:r w:rsidR="008864AE">
        <w:t xml:space="preserve">; dieser enthält auch </w:t>
      </w:r>
      <w:r>
        <w:t xml:space="preserve">Nachhaltigkeitsgrundsätze. Hierdurch soll nachhaltig ein Mehrwert für die Mitarbeitenden, Kunden, Partner und die Gesellschaft als Ganzes geschaffen werden. </w:t>
      </w:r>
    </w:p>
    <w:sectPr w:rsidR="007C5D42" w:rsidRPr="00104A7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60E09" w14:textId="77777777" w:rsidR="006D7060" w:rsidRDefault="006D7060" w:rsidP="006D7060">
      <w:pPr>
        <w:spacing w:after="0" w:line="240" w:lineRule="auto"/>
      </w:pPr>
      <w:r>
        <w:separator/>
      </w:r>
    </w:p>
  </w:endnote>
  <w:endnote w:type="continuationSeparator" w:id="0">
    <w:p w14:paraId="663D0509" w14:textId="77777777" w:rsidR="006D7060" w:rsidRDefault="006D7060" w:rsidP="006D7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80183" w14:textId="77777777" w:rsidR="006D7060" w:rsidRDefault="006D7060" w:rsidP="006D7060">
      <w:pPr>
        <w:spacing w:after="0" w:line="240" w:lineRule="auto"/>
      </w:pPr>
      <w:r>
        <w:separator/>
      </w:r>
    </w:p>
  </w:footnote>
  <w:footnote w:type="continuationSeparator" w:id="0">
    <w:p w14:paraId="1A4F3D29" w14:textId="77777777" w:rsidR="006D7060" w:rsidRDefault="006D7060" w:rsidP="006D7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57171" w14:textId="5FB00DD7" w:rsidR="006D7060" w:rsidRPr="006A730A" w:rsidRDefault="006D7060" w:rsidP="006D7060">
    <w:pPr>
      <w:pStyle w:val="Kopfzeile"/>
      <w:rPr>
        <w:sz w:val="16"/>
        <w:szCs w:val="16"/>
      </w:rPr>
    </w:pPr>
    <w:r w:rsidRPr="006A730A">
      <w:rPr>
        <w:noProof/>
        <w:sz w:val="16"/>
        <w:szCs w:val="16"/>
        <w:lang w:val="de-CH" w:eastAsia="de-CH"/>
      </w:rPr>
      <w:drawing>
        <wp:anchor distT="0" distB="0" distL="114300" distR="114300" simplePos="0" relativeHeight="251659264" behindDoc="0" locked="0" layoutInCell="1" allowOverlap="1" wp14:anchorId="7E701918" wp14:editId="2D7FB4BE">
          <wp:simplePos x="0" y="0"/>
          <wp:positionH relativeFrom="column">
            <wp:posOffset>0</wp:posOffset>
          </wp:positionH>
          <wp:positionV relativeFrom="paragraph">
            <wp:posOffset>-142875</wp:posOffset>
          </wp:positionV>
          <wp:extent cx="1466850" cy="371475"/>
          <wp:effectExtent l="0" t="0" r="0" b="0"/>
          <wp:wrapSquare wrapText="bothSides"/>
          <wp:docPr id="4" name="Bild 1"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F539D9">
      <w:rPr>
        <w:sz w:val="16"/>
        <w:szCs w:val="16"/>
      </w:rPr>
      <w:tab/>
    </w:r>
    <w:r w:rsidR="00F539D9">
      <w:rPr>
        <w:sz w:val="16"/>
        <w:szCs w:val="16"/>
      </w:rPr>
      <w:tab/>
      <w:t>0</w:t>
    </w:r>
    <w:r w:rsidR="005F6BA0">
      <w:rPr>
        <w:sz w:val="16"/>
        <w:szCs w:val="16"/>
      </w:rPr>
      <w:t>3</w:t>
    </w:r>
    <w:r>
      <w:rPr>
        <w:sz w:val="16"/>
        <w:szCs w:val="16"/>
      </w:rPr>
      <w:t>/202</w:t>
    </w:r>
    <w:r w:rsidR="00F539D9">
      <w:rPr>
        <w:sz w:val="16"/>
        <w:szCs w:val="16"/>
      </w:rPr>
      <w:t>5</w:t>
    </w:r>
  </w:p>
  <w:p w14:paraId="133DC290" w14:textId="77777777" w:rsidR="006D7060" w:rsidRDefault="006D7060" w:rsidP="006D7060">
    <w:pPr>
      <w:pStyle w:val="Kopfzeile"/>
    </w:pPr>
  </w:p>
  <w:p w14:paraId="435DBEDE" w14:textId="77777777" w:rsidR="006D7060" w:rsidRDefault="006D7060" w:rsidP="006D7060">
    <w:pPr>
      <w:pStyle w:val="Kopfzeile"/>
    </w:pPr>
  </w:p>
  <w:p w14:paraId="08DE87AC" w14:textId="29D45871" w:rsidR="006D7060" w:rsidRPr="006D7060" w:rsidRDefault="006D7060" w:rsidP="006D70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10801"/>
    <w:multiLevelType w:val="multilevel"/>
    <w:tmpl w:val="7806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A4751"/>
    <w:multiLevelType w:val="hybridMultilevel"/>
    <w:tmpl w:val="A212F5FE"/>
    <w:lvl w:ilvl="0" w:tplc="E21E30F6">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840"/>
    <w:rsid w:val="00013488"/>
    <w:rsid w:val="00022159"/>
    <w:rsid w:val="000248B5"/>
    <w:rsid w:val="00042A9C"/>
    <w:rsid w:val="00060CD4"/>
    <w:rsid w:val="00086DC1"/>
    <w:rsid w:val="000E16B3"/>
    <w:rsid w:val="0010086F"/>
    <w:rsid w:val="00104A72"/>
    <w:rsid w:val="00110464"/>
    <w:rsid w:val="001236AC"/>
    <w:rsid w:val="00166BBF"/>
    <w:rsid w:val="00223E6F"/>
    <w:rsid w:val="00261940"/>
    <w:rsid w:val="002C0DEE"/>
    <w:rsid w:val="002C59B9"/>
    <w:rsid w:val="002F06E0"/>
    <w:rsid w:val="002F3C89"/>
    <w:rsid w:val="00322A29"/>
    <w:rsid w:val="00376514"/>
    <w:rsid w:val="003A6358"/>
    <w:rsid w:val="003B26E0"/>
    <w:rsid w:val="003B52B9"/>
    <w:rsid w:val="00400668"/>
    <w:rsid w:val="00424DBD"/>
    <w:rsid w:val="00474870"/>
    <w:rsid w:val="00484124"/>
    <w:rsid w:val="004B3D8F"/>
    <w:rsid w:val="004C2A19"/>
    <w:rsid w:val="004D2840"/>
    <w:rsid w:val="004E67E7"/>
    <w:rsid w:val="004F5958"/>
    <w:rsid w:val="00503A15"/>
    <w:rsid w:val="00510B24"/>
    <w:rsid w:val="005244C0"/>
    <w:rsid w:val="00546A78"/>
    <w:rsid w:val="00561836"/>
    <w:rsid w:val="0056378F"/>
    <w:rsid w:val="0058273A"/>
    <w:rsid w:val="00586768"/>
    <w:rsid w:val="005B06F0"/>
    <w:rsid w:val="005B71D8"/>
    <w:rsid w:val="005C1EF7"/>
    <w:rsid w:val="005E4152"/>
    <w:rsid w:val="005F6BA0"/>
    <w:rsid w:val="00615C6D"/>
    <w:rsid w:val="00652A2D"/>
    <w:rsid w:val="00695DC6"/>
    <w:rsid w:val="006C7789"/>
    <w:rsid w:val="006D7060"/>
    <w:rsid w:val="00721456"/>
    <w:rsid w:val="00735987"/>
    <w:rsid w:val="007C5D42"/>
    <w:rsid w:val="008346C5"/>
    <w:rsid w:val="00841827"/>
    <w:rsid w:val="008424AB"/>
    <w:rsid w:val="008864AE"/>
    <w:rsid w:val="008B3F51"/>
    <w:rsid w:val="008B5D89"/>
    <w:rsid w:val="008C0AA5"/>
    <w:rsid w:val="008C72BA"/>
    <w:rsid w:val="008E5B8F"/>
    <w:rsid w:val="008F11EE"/>
    <w:rsid w:val="00922968"/>
    <w:rsid w:val="00923248"/>
    <w:rsid w:val="00937A62"/>
    <w:rsid w:val="00940E32"/>
    <w:rsid w:val="00944215"/>
    <w:rsid w:val="009539EB"/>
    <w:rsid w:val="00972C99"/>
    <w:rsid w:val="009C6B85"/>
    <w:rsid w:val="009E259B"/>
    <w:rsid w:val="009E6A31"/>
    <w:rsid w:val="00A05AC5"/>
    <w:rsid w:val="00A37D8C"/>
    <w:rsid w:val="00A528B0"/>
    <w:rsid w:val="00A61F31"/>
    <w:rsid w:val="00A656A8"/>
    <w:rsid w:val="00A707D8"/>
    <w:rsid w:val="00A72775"/>
    <w:rsid w:val="00AB674B"/>
    <w:rsid w:val="00AC2249"/>
    <w:rsid w:val="00AD7BB4"/>
    <w:rsid w:val="00B170CB"/>
    <w:rsid w:val="00B24E4B"/>
    <w:rsid w:val="00B81A0E"/>
    <w:rsid w:val="00B850F7"/>
    <w:rsid w:val="00B86C70"/>
    <w:rsid w:val="00BD2AFC"/>
    <w:rsid w:val="00BD7916"/>
    <w:rsid w:val="00BF4C84"/>
    <w:rsid w:val="00C302BC"/>
    <w:rsid w:val="00C367A7"/>
    <w:rsid w:val="00C715D5"/>
    <w:rsid w:val="00CA565A"/>
    <w:rsid w:val="00CC2E6E"/>
    <w:rsid w:val="00CD46CB"/>
    <w:rsid w:val="00CE2AD4"/>
    <w:rsid w:val="00D10038"/>
    <w:rsid w:val="00DD0015"/>
    <w:rsid w:val="00DD2A2F"/>
    <w:rsid w:val="00E05DFE"/>
    <w:rsid w:val="00E06C14"/>
    <w:rsid w:val="00E604F3"/>
    <w:rsid w:val="00E85385"/>
    <w:rsid w:val="00EE6197"/>
    <w:rsid w:val="00F27169"/>
    <w:rsid w:val="00F352D0"/>
    <w:rsid w:val="00F52FEB"/>
    <w:rsid w:val="00F539D9"/>
    <w:rsid w:val="00FA2A13"/>
    <w:rsid w:val="00FA703F"/>
    <w:rsid w:val="00FB5493"/>
    <w:rsid w:val="00FE17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865DC"/>
  <w15:chartTrackingRefBased/>
  <w15:docId w15:val="{1FCF34F4-67F3-4174-B8B4-979FF657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528B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528B0"/>
    <w:rPr>
      <w:rFonts w:ascii="Segoe UI" w:hAnsi="Segoe UI" w:cs="Segoe UI"/>
      <w:sz w:val="18"/>
      <w:szCs w:val="18"/>
    </w:rPr>
  </w:style>
  <w:style w:type="character" w:styleId="Kommentarzeichen">
    <w:name w:val="annotation reference"/>
    <w:basedOn w:val="Absatz-Standardschriftart"/>
    <w:uiPriority w:val="99"/>
    <w:semiHidden/>
    <w:unhideWhenUsed/>
    <w:rsid w:val="00A37D8C"/>
    <w:rPr>
      <w:sz w:val="16"/>
      <w:szCs w:val="16"/>
    </w:rPr>
  </w:style>
  <w:style w:type="paragraph" w:styleId="Kommentartext">
    <w:name w:val="annotation text"/>
    <w:basedOn w:val="Standard"/>
    <w:link w:val="KommentartextZchn"/>
    <w:uiPriority w:val="99"/>
    <w:semiHidden/>
    <w:unhideWhenUsed/>
    <w:rsid w:val="00A37D8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37D8C"/>
    <w:rPr>
      <w:sz w:val="20"/>
      <w:szCs w:val="20"/>
    </w:rPr>
  </w:style>
  <w:style w:type="paragraph" w:styleId="Kommentarthema">
    <w:name w:val="annotation subject"/>
    <w:basedOn w:val="Kommentartext"/>
    <w:next w:val="Kommentartext"/>
    <w:link w:val="KommentarthemaZchn"/>
    <w:uiPriority w:val="99"/>
    <w:semiHidden/>
    <w:unhideWhenUsed/>
    <w:rsid w:val="00A37D8C"/>
    <w:rPr>
      <w:b/>
      <w:bCs/>
    </w:rPr>
  </w:style>
  <w:style w:type="character" w:customStyle="1" w:styleId="KommentarthemaZchn">
    <w:name w:val="Kommentarthema Zchn"/>
    <w:basedOn w:val="KommentartextZchn"/>
    <w:link w:val="Kommentarthema"/>
    <w:uiPriority w:val="99"/>
    <w:semiHidden/>
    <w:rsid w:val="00A37D8C"/>
    <w:rPr>
      <w:b/>
      <w:bCs/>
      <w:sz w:val="20"/>
      <w:szCs w:val="20"/>
    </w:rPr>
  </w:style>
  <w:style w:type="paragraph" w:styleId="Listenabsatz">
    <w:name w:val="List Paragraph"/>
    <w:basedOn w:val="Standard"/>
    <w:uiPriority w:val="34"/>
    <w:qFormat/>
    <w:rsid w:val="00CA565A"/>
    <w:pPr>
      <w:ind w:left="720"/>
      <w:contextualSpacing/>
    </w:pPr>
  </w:style>
  <w:style w:type="paragraph" w:styleId="berarbeitung">
    <w:name w:val="Revision"/>
    <w:hidden/>
    <w:uiPriority w:val="99"/>
    <w:semiHidden/>
    <w:rsid w:val="00586768"/>
    <w:pPr>
      <w:spacing w:after="0" w:line="240" w:lineRule="auto"/>
    </w:pPr>
  </w:style>
  <w:style w:type="paragraph" w:styleId="Kopfzeile">
    <w:name w:val="header"/>
    <w:basedOn w:val="Standard"/>
    <w:link w:val="KopfzeileZchn"/>
    <w:uiPriority w:val="99"/>
    <w:unhideWhenUsed/>
    <w:rsid w:val="006D70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7060"/>
  </w:style>
  <w:style w:type="paragraph" w:styleId="Fuzeile">
    <w:name w:val="footer"/>
    <w:basedOn w:val="Standard"/>
    <w:link w:val="FuzeileZchn"/>
    <w:uiPriority w:val="99"/>
    <w:unhideWhenUsed/>
    <w:rsid w:val="006D70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7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886310">
      <w:bodyDiv w:val="1"/>
      <w:marLeft w:val="0"/>
      <w:marRight w:val="0"/>
      <w:marTop w:val="0"/>
      <w:marBottom w:val="0"/>
      <w:divBdr>
        <w:top w:val="none" w:sz="0" w:space="0" w:color="auto"/>
        <w:left w:val="none" w:sz="0" w:space="0" w:color="auto"/>
        <w:bottom w:val="none" w:sz="0" w:space="0" w:color="auto"/>
        <w:right w:val="none" w:sz="0" w:space="0" w:color="auto"/>
      </w:divBdr>
    </w:div>
    <w:div w:id="125057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1200</Words>
  <Characters>7566</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Hackel</dc:creator>
  <cp:keywords/>
  <dc:description/>
  <cp:lastModifiedBy>Kollmann Nicola</cp:lastModifiedBy>
  <cp:revision>4</cp:revision>
  <cp:lastPrinted>2022-04-22T11:32:00Z</cp:lastPrinted>
  <dcterms:created xsi:type="dcterms:W3CDTF">2025-03-05T09:01:00Z</dcterms:created>
  <dcterms:modified xsi:type="dcterms:W3CDTF">2025-03-05T09:09:00Z</dcterms:modified>
</cp:coreProperties>
</file>